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PROGRAMA INSTITUCIONAL DO IFSC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8"/>
          <w:szCs w:val="28"/>
          <w:rtl w:val="0"/>
        </w:rPr>
        <w:t xml:space="preserve">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MPUS DE CHAPECÓ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EDITAL – Nº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ABERTURA DE VAGAS PARA MONITORIA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 ENSINO DO IFSC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MPUS CHAPECÓ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TERMO DE COMPROMISSO E RESPONSABILIDADE DOS MONITORES DE ENSINO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2.0" w:type="dxa"/>
        <w:jc w:val="left"/>
        <w:tblInd w:w="-108.0" w:type="dxa"/>
        <w:tblLayout w:type="fixed"/>
        <w:tblLook w:val="0000"/>
      </w:tblPr>
      <w:tblGrid>
        <w:gridCol w:w="817"/>
        <w:gridCol w:w="144"/>
        <w:gridCol w:w="167"/>
        <w:gridCol w:w="1674"/>
        <w:gridCol w:w="850"/>
        <w:gridCol w:w="3544"/>
        <w:gridCol w:w="142"/>
        <w:gridCol w:w="283"/>
        <w:gridCol w:w="709"/>
        <w:gridCol w:w="283"/>
        <w:gridCol w:w="1629"/>
        <w:tblGridChange w:id="0">
          <w:tblGrid>
            <w:gridCol w:w="817"/>
            <w:gridCol w:w="144"/>
            <w:gridCol w:w="167"/>
            <w:gridCol w:w="1674"/>
            <w:gridCol w:w="850"/>
            <w:gridCol w:w="3544"/>
            <w:gridCol w:w="142"/>
            <w:gridCol w:w="283"/>
            <w:gridCol w:w="709"/>
            <w:gridCol w:w="283"/>
            <w:gridCol w:w="1629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40" w:before="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gridSpan w:val="6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40" w:before="40" w:lineRule="auto"/>
              <w:rPr>
                <w:rFonts w:ascii="Arial" w:cs="Arial" w:eastAsia="Arial" w:hAnsi="Arial"/>
                <w:b w:val="1"/>
                <w:color w:val="ff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3333"/>
                <w:sz w:val="20"/>
                <w:szCs w:val="20"/>
                <w:rtl w:val="0"/>
              </w:rPr>
              <w:t xml:space="preserve">XXXXXXXXXXXXXXXXXX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D">
            <w:pPr>
              <w:spacing w:after="40" w:before="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3333"/>
                <w:sz w:val="20"/>
                <w:szCs w:val="20"/>
                <w:rtl w:val="0"/>
              </w:rPr>
              <w:t xml:space="preserve">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1">
            <w:pPr>
              <w:spacing w:after="40" w:before="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Endereço: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40" w:before="40" w:lineRule="auto"/>
              <w:rPr>
                <w:rFonts w:ascii="Arial" w:cs="Arial" w:eastAsia="Arial" w:hAnsi="Arial"/>
                <w:b w:val="1"/>
                <w:color w:val="ff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3333"/>
                <w:sz w:val="20"/>
                <w:szCs w:val="20"/>
                <w:rtl w:val="0"/>
              </w:rPr>
              <w:t xml:space="preserve">XXXXXXXXXXX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40" w:before="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40" w:before="40" w:lineRule="auto"/>
              <w:rPr>
                <w:rFonts w:ascii="Arial" w:cs="Arial" w:eastAsia="Arial" w:hAnsi="Arial"/>
                <w:b w:val="1"/>
                <w:color w:val="ff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3333"/>
                <w:sz w:val="20"/>
                <w:szCs w:val="20"/>
                <w:rtl w:val="0"/>
              </w:rPr>
              <w:t xml:space="preserve">XXXXXXXX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spacing w:after="40" w:before="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Fone(s):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pos="693"/>
              </w:tabs>
              <w:spacing w:after="40" w:before="40" w:lineRule="auto"/>
              <w:rPr>
                <w:rFonts w:ascii="Arial" w:cs="Arial" w:eastAsia="Arial" w:hAnsi="Arial"/>
                <w:b w:val="1"/>
                <w:color w:val="ff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3333"/>
                <w:sz w:val="20"/>
                <w:szCs w:val="20"/>
                <w:rtl w:val="0"/>
              </w:rPr>
              <w:t xml:space="preserve">XXXXXXXXXX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40" w:before="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40" w:before="40" w:lineRule="auto"/>
              <w:rPr>
                <w:rFonts w:ascii="Arial" w:cs="Arial" w:eastAsia="Arial" w:hAnsi="Arial"/>
                <w:b w:val="1"/>
                <w:color w:val="ff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3333"/>
                <w:sz w:val="20"/>
                <w:szCs w:val="20"/>
                <w:rtl w:val="0"/>
              </w:rPr>
              <w:t xml:space="preserve">XXXXXXXXX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22">
            <w:pPr>
              <w:spacing w:after="40" w:before="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Nascimento: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40" w:before="40" w:lineRule="auto"/>
              <w:jc w:val="both"/>
              <w:rPr>
                <w:rFonts w:ascii="Arial" w:cs="Arial" w:eastAsia="Arial" w:hAnsi="Arial"/>
                <w:b w:val="1"/>
                <w:color w:val="ff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3333"/>
                <w:sz w:val="20"/>
                <w:szCs w:val="20"/>
                <w:rtl w:val="0"/>
              </w:rPr>
              <w:t xml:space="preserve">XXXXXXX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FEDERAL DE EDUCAÇÃO, CIÊNCIA E TECNOLOGIA DE SANTA CATARINA/CÂMPUS CHAPECÓ: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om sede na Rua Nereu Ramos, nº 3450D – Bairro Seminário – Chapecó/SC – CEP 89.801-136, por meio do presente instrumento particular, as partes supramencionadas firmam termos de compromisso e concessão de bolsa de monitoria, nos seguintes itens: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tabs>
          <w:tab w:val="left" w:pos="0"/>
          <w:tab w:val="left" w:pos="180"/>
        </w:tabs>
        <w:spacing w:after="80" w:before="80" w:lineRule="auto"/>
        <w:ind w:left="18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Concederá ao MONITOR DE ENSINO, para o desenvolvimento das atividades </w:t>
      </w:r>
      <w:r w:rsidDel="00000000" w:rsidR="00000000" w:rsidRPr="00000000">
        <w:rPr>
          <w:rFonts w:ascii="Arial" w:cs="Arial" w:eastAsia="Arial" w:hAnsi="Arial"/>
          <w:b w:val="1"/>
          <w:color w:val="ff3333"/>
          <w:sz w:val="20"/>
          <w:szCs w:val="20"/>
          <w:rtl w:val="0"/>
        </w:rPr>
        <w:t xml:space="preserve">XXXXXXXXXXXXXXXXXXXXXXXXXXXXXXXXXXXXXXXXXXXXXXXX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tabs>
          <w:tab w:val="left" w:pos="0"/>
          <w:tab w:val="left" w:pos="180"/>
        </w:tabs>
        <w:spacing w:after="80" w:before="80" w:lineRule="auto"/>
        <w:ind w:left="18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bolsa de monitoria/bolsista de que trata o item acima consistirá, no repasse, por parte do IF-SC/ campus de Chapecó, mediante depósito em conta corrente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b w:val="1"/>
          <w:color w:val="ff3333"/>
          <w:sz w:val="20"/>
          <w:szCs w:val="20"/>
          <w:rtl w:val="0"/>
        </w:rPr>
        <w:t xml:space="preserve">XXXX-X</w:t>
      </w:r>
      <w:r w:rsidDel="00000000" w:rsidR="00000000" w:rsidRPr="00000000">
        <w:rPr>
          <w:rFonts w:ascii="Arial" w:cs="Arial" w:eastAsia="Arial" w:hAnsi="Arial"/>
          <w:color w:val="ff3333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agência nº </w:t>
      </w:r>
      <w:r w:rsidDel="00000000" w:rsidR="00000000" w:rsidRPr="00000000">
        <w:rPr>
          <w:rFonts w:ascii="Arial" w:cs="Arial" w:eastAsia="Arial" w:hAnsi="Arial"/>
          <w:b w:val="1"/>
          <w:color w:val="ff3333"/>
          <w:sz w:val="20"/>
          <w:szCs w:val="20"/>
          <w:rtl w:val="0"/>
        </w:rPr>
        <w:t xml:space="preserve">XXXX-X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Banco </w:t>
      </w:r>
      <w:r w:rsidDel="00000000" w:rsidR="00000000" w:rsidRPr="00000000">
        <w:rPr>
          <w:rFonts w:ascii="Arial" w:cs="Arial" w:eastAsia="Arial" w:hAnsi="Arial"/>
          <w:b w:val="1"/>
          <w:color w:val="ff3333"/>
          <w:sz w:val="20"/>
          <w:szCs w:val="20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na quantia mensal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04 parcelas de R$ 200,00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 (duzentos reais) por 10h semanais ou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04 parcelas de 60,00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 (sessenta reais) por 3h semanais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mediante a assinatura do presente termo, em favor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do MONITOR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ENSINO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tabs>
          <w:tab w:val="left" w:pos="0"/>
          <w:tab w:val="left" w:pos="180"/>
        </w:tabs>
        <w:spacing w:after="80" w:before="80" w:lineRule="auto"/>
        <w:ind w:left="18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MONITOR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obriga-se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pos="0"/>
        </w:tabs>
        <w:spacing w:after="80" w:before="8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Ser aluno regularmente matriculado em curso do IFSC e não possuir outra matrícula em curso regular de outra Instituição de Ensino;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pos="0"/>
        </w:tabs>
        <w:spacing w:after="80" w:before="80" w:lineRule="auto"/>
        <w:ind w:left="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Entregar ao coordenador do projeto mensalmente as fichas ponto até o primeiro dia útil de cada mês;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pos="0"/>
        </w:tabs>
        <w:spacing w:after="80" w:before="8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Cumprir as atividades estabelecidas no projeto do setor;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pos="0"/>
        </w:tabs>
        <w:spacing w:after="80" w:before="8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Participar de todas as atividades de pesquisa e seminários que forem organizados pela Pró-Reitoria de Pesquisa, Pós-Graduação e Inovação;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pos="0"/>
        </w:tabs>
        <w:spacing w:after="80" w:before="8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Dedicar-se integralmente às atividades acadêmicas e de pesquisa, respeitando, inclusive, o cumprimento da carga horária de vinte horas semanais (quatro horas por dia).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pos="0"/>
        </w:tabs>
        <w:spacing w:after="80" w:before="8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Devolver ao IFSC, em valores atualizados, a(s) mensalidade(s) recebida(s) indevidamente, caso as obrigações deste Termo de Compromisso não sejam cumpridas.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before="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108.0" w:type="dxa"/>
        <w:tblLayout w:type="fixed"/>
        <w:tblLook w:val="0000"/>
      </w:tblPr>
      <w:tblGrid>
        <w:gridCol w:w="5637"/>
        <w:gridCol w:w="4536"/>
        <w:tblGridChange w:id="0">
          <w:tblGrid>
            <w:gridCol w:w="5637"/>
            <w:gridCol w:w="4536"/>
          </w:tblGrid>
        </w:tblGridChange>
      </w:tblGrid>
      <w:tr>
        <w:trPr>
          <w:trHeight w:val="87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XXXXXXXXXXXXXXX</w:t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                              Aluno Bolsista/Monitor                        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XXXXXXXXXXXXXXXXXX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Coordenador(a) do setor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                       Sandra Aparecida Antonini Agne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Diretora Geral  do Câmpus Chapecó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Chapecó, </w:t>
      </w:r>
      <w:r w:rsidDel="00000000" w:rsidR="00000000" w:rsidRPr="00000000">
        <w:rPr>
          <w:rFonts w:ascii="Arial" w:cs="Arial" w:eastAsia="Arial" w:hAnsi="Arial"/>
          <w:color w:val="ff3333"/>
          <w:sz w:val="20"/>
          <w:szCs w:val="20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ff3333"/>
          <w:sz w:val="20"/>
          <w:szCs w:val="20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2021.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5" w:top="2242" w:left="1134" w:right="745" w:header="568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rebuchet MS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3771900" cy="12700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60320" y="3779640"/>
                        <a:ext cx="3771360" cy="720"/>
                      </a:xfrm>
                      <a:custGeom>
                        <a:rect b="b" l="l" r="r" t="t"/>
                        <a:pathLst>
                          <a:path extrusionOk="0" h="3" w="3771901">
                            <a:moveTo>
                              <a:pt x="0" y="0"/>
                            </a:moveTo>
                            <a:lnTo>
                              <a:pt x="3771901" y="1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3771900" cy="12700"/>
              <wp:effectExtent b="0" l="0" r="0" t="0"/>
              <wp:wrapSquare wrapText="bothSides" distB="0" distT="0" distL="0" distR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71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9639.0" w:type="dxa"/>
      <w:jc w:val="left"/>
      <w:tblInd w:w="60.0" w:type="dxa"/>
      <w:tblLayout w:type="fixed"/>
      <w:tblLook w:val="0000"/>
    </w:tblPr>
    <w:tblGrid>
      <w:gridCol w:w="2410"/>
      <w:gridCol w:w="7229"/>
      <w:tblGridChange w:id="0">
        <w:tblGrid>
          <w:gridCol w:w="2410"/>
          <w:gridCol w:w="7229"/>
        </w:tblGrid>
      </w:tblGridChange>
    </w:tblGrid>
    <w:tr>
      <w:trPr>
        <w:trHeight w:val="1283" w:hRule="atLeast"/>
      </w:trPr>
      <w:tc>
        <w:tcPr>
          <w:shd w:fill="auto" w:val="clear"/>
        </w:tcPr>
        <w:p w:rsidR="00000000" w:rsidDel="00000000" w:rsidP="00000000" w:rsidRDefault="00000000" w:rsidRPr="00000000" w14:paraId="0000004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4419"/>
              <w:tab w:val="right" w:pos="8838"/>
              <w:tab w:val="left" w:pos="9498"/>
            </w:tabs>
            <w:spacing w:after="0" w:before="0" w:line="240" w:lineRule="auto"/>
            <w:ind w:left="-7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278890" cy="72009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8890" cy="7200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4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4419"/>
              <w:tab w:val="right" w:pos="8838"/>
              <w:tab w:val="left" w:pos="9498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4419"/>
              <w:tab w:val="right" w:pos="8838"/>
              <w:tab w:val="left" w:pos="9498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4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4419"/>
              <w:tab w:val="right" w:pos="8838"/>
              <w:tab w:val="left" w:pos="9498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SANTA CATARINA</w:t>
          </w:r>
        </w:p>
        <w:p w:rsidR="00000000" w:rsidDel="00000000" w:rsidP="00000000" w:rsidRDefault="00000000" w:rsidRPr="00000000" w14:paraId="0000004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center" w:pos="4419"/>
              <w:tab w:val="right" w:pos="8838"/>
              <w:tab w:val="left" w:pos="9498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PRÓ-REITORIA DE PESQUISA, PÓS-GRADUAÇÃO E INOVAÇÃO</w:t>
          </w:r>
        </w:p>
      </w:tc>
    </w:tr>
  </w:tbl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6165" cy="1270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73220" y="3779640"/>
                        <a:ext cx="6145560" cy="720"/>
                      </a:xfrm>
                      <a:custGeom>
                        <a:rect b="b" l="l" r="r" t="t"/>
                        <a:pathLst>
                          <a:path extrusionOk="0" h="3" w="6145530">
                            <a:moveTo>
                              <a:pt x="0" y="0"/>
                            </a:moveTo>
                            <a:lnTo>
                              <a:pt x="6145530" y="1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6165" cy="1270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616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3.%1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decimal"/>
      <w:lvlText w:val="%5."/>
      <w:lvlJc w:val="left"/>
      <w:pPr>
        <w:ind w:left="0" w:firstLine="0"/>
      </w:pPr>
      <w:rPr/>
    </w:lvl>
    <w:lvl w:ilvl="5">
      <w:start w:val="1"/>
      <w:numFmt w:val="decimal"/>
      <w:lvlText w:val="%6."/>
      <w:lvlJc w:val="lef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decimal"/>
      <w:lvlText w:val="%8."/>
      <w:lvlJc w:val="left"/>
      <w:pPr>
        <w:ind w:left="0" w:firstLine="0"/>
      </w:pPr>
      <w:rPr/>
    </w:lvl>
    <w:lvl w:ilvl="8">
      <w:start w:val="1"/>
      <w:numFmt w:val="decimal"/>
      <w:lvlText w:val="%9.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60" w:lineRule="auto"/>
      <w:ind w:lef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ind w:left="0" w:firstLine="0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left="284" w:right="0" w:firstLine="0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firstLine="0"/>
      <w:jc w:val="center"/>
    </w:pPr>
    <w:rPr>
      <w:rFonts w:ascii="Humanst521 BT" w:cs="Humanst521 BT" w:eastAsia="Humanst521 BT" w:hAnsi="Humanst521 BT"/>
      <w:sz w:val="72"/>
      <w:szCs w:val="7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before="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